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2" w:rsidRPr="00346AB8" w:rsidRDefault="00690BE2" w:rsidP="00346AB8">
      <w:pPr>
        <w:tabs>
          <w:tab w:val="left" w:pos="318"/>
        </w:tabs>
        <w:jc w:val="both"/>
        <w:rPr>
          <w:rFonts w:asciiTheme="majorHAnsi" w:hAnsiTheme="majorHAnsi" w:cs="Arial"/>
          <w:b/>
          <w:color w:val="92D050"/>
          <w:sz w:val="24"/>
          <w:szCs w:val="24"/>
        </w:rPr>
      </w:pPr>
      <w:r w:rsidRPr="00346AB8">
        <w:rPr>
          <w:rFonts w:asciiTheme="majorHAnsi" w:hAnsiTheme="majorHAnsi" w:cs="Arial"/>
          <w:b/>
          <w:color w:val="92D050"/>
          <w:sz w:val="24"/>
          <w:szCs w:val="24"/>
        </w:rPr>
        <w:t>Как выбрать окно для крыши?</w:t>
      </w:r>
    </w:p>
    <w:p w:rsidR="00690BE2" w:rsidRPr="00346AB8" w:rsidRDefault="00690BE2" w:rsidP="00346AB8">
      <w:pPr>
        <w:pStyle w:val="a3"/>
        <w:numPr>
          <w:ilvl w:val="0"/>
          <w:numId w:val="1"/>
        </w:numPr>
        <w:tabs>
          <w:tab w:val="left" w:pos="318"/>
        </w:tabs>
        <w:jc w:val="both"/>
        <w:rPr>
          <w:rFonts w:asciiTheme="majorHAnsi" w:hAnsiTheme="majorHAnsi" w:cs="Arial"/>
          <w:b/>
          <w:color w:val="000000" w:themeColor="text1"/>
        </w:rPr>
      </w:pPr>
      <w:r w:rsidRPr="00346AB8">
        <w:rPr>
          <w:rFonts w:asciiTheme="majorHAnsi" w:hAnsiTheme="majorHAnsi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4A62CE" wp14:editId="3DBD2DF6">
            <wp:simplePos x="0" y="0"/>
            <wp:positionH relativeFrom="column">
              <wp:posOffset>3810</wp:posOffset>
            </wp:positionH>
            <wp:positionV relativeFrom="paragraph">
              <wp:posOffset>287655</wp:posOffset>
            </wp:positionV>
            <wp:extent cx="19526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495" y="21409"/>
                <wp:lineTo x="21495" y="0"/>
                <wp:lineTo x="0" y="0"/>
              </wp:wrapPolygon>
            </wp:wrapTight>
            <wp:docPr id="1" name="Рисунок 1" descr="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B8">
        <w:rPr>
          <w:rFonts w:asciiTheme="majorHAnsi" w:hAnsiTheme="majorHAnsi" w:cs="Arial"/>
          <w:b/>
          <w:color w:val="000000" w:themeColor="text1"/>
        </w:rPr>
        <w:t>Выбор размера окна.</w:t>
      </w:r>
    </w:p>
    <w:p w:rsidR="00690BE2" w:rsidRPr="00346AB8" w:rsidRDefault="00690BE2" w:rsidP="00346AB8">
      <w:pPr>
        <w:jc w:val="both"/>
        <w:rPr>
          <w:rFonts w:asciiTheme="majorHAnsi" w:hAnsiTheme="majorHAnsi" w:cs="Arial"/>
        </w:rPr>
      </w:pPr>
      <w:r w:rsidRPr="00346AB8">
        <w:rPr>
          <w:rFonts w:asciiTheme="majorHAnsi" w:hAnsiTheme="majorHAnsi" w:cs="Arial"/>
        </w:rPr>
        <w:t xml:space="preserve">Выбор размера окна по ширине зависит от расстояния между стропилами. Это расстояние должно быть на 2-5 см больше, чем ширина окна. Например, если расстояние между стропилами составляет 80 см, то ближайшая ширина подходящего окна – 78 см. В случае если расстояние между стропилами больше ширины выбранного окна, благодаря универсальной системе монтажа окно для крыши </w:t>
      </w:r>
      <w:r w:rsidRPr="00346AB8">
        <w:rPr>
          <w:rFonts w:asciiTheme="majorHAnsi" w:hAnsiTheme="majorHAnsi" w:cs="Arial"/>
          <w:lang w:val="en-US"/>
        </w:rPr>
        <w:t>FAKRO</w:t>
      </w:r>
      <w:r w:rsidRPr="00346AB8">
        <w:rPr>
          <w:rFonts w:asciiTheme="majorHAnsi" w:hAnsiTheme="majorHAnsi" w:cs="Arial"/>
        </w:rPr>
        <w:t xml:space="preserve"> можно установить на обрешетке. Если расстояние между стропилами меньше ширины окна, при желании можно частично изменить конструкцию стропильной системы.</w:t>
      </w:r>
    </w:p>
    <w:p w:rsidR="00690BE2" w:rsidRPr="00346AB8" w:rsidRDefault="00690BE2" w:rsidP="00346AB8">
      <w:pPr>
        <w:jc w:val="both"/>
        <w:rPr>
          <w:rFonts w:asciiTheme="majorHAnsi" w:hAnsiTheme="majorHAnsi" w:cs="Arial"/>
        </w:rPr>
      </w:pPr>
      <w:r w:rsidRPr="00346AB8">
        <w:rPr>
          <w:rFonts w:asciiTheme="majorHAnsi" w:hAnsiTheme="majorHAnsi" w:cs="Arial"/>
        </w:rPr>
        <w:t>Выбор размера окна по высоте предусматривает ряд условий:</w:t>
      </w:r>
    </w:p>
    <w:p w:rsidR="00690BE2" w:rsidRPr="00346AB8" w:rsidRDefault="00690BE2" w:rsidP="00346AB8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 w:cs="Arial"/>
        </w:rPr>
      </w:pPr>
      <w:r w:rsidRPr="00346AB8">
        <w:rPr>
          <w:rFonts w:asciiTheme="majorHAnsi" w:hAnsiTheme="majorHAnsi" w:cs="Arial"/>
        </w:rPr>
        <w:t>Высота установки от пола (оптимальная высота составляет – 120 см).</w:t>
      </w:r>
    </w:p>
    <w:p w:rsidR="00690BE2" w:rsidRPr="00346AB8" w:rsidRDefault="00690BE2" w:rsidP="00346AB8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 w:cs="Arial"/>
        </w:rPr>
      </w:pPr>
      <w:r w:rsidRPr="00346AB8">
        <w:rPr>
          <w:rFonts w:asciiTheme="majorHAnsi" w:hAnsiTheme="majorHAnsi" w:cs="Arial"/>
        </w:rPr>
        <w:t>Угол наклона крыши (чем меньше угол наклона, тем больше должна быть высота окна).</w:t>
      </w:r>
    </w:p>
    <w:p w:rsidR="00690BE2" w:rsidRPr="00346AB8" w:rsidRDefault="00690BE2" w:rsidP="00346AB8">
      <w:pPr>
        <w:tabs>
          <w:tab w:val="left" w:pos="318"/>
        </w:tabs>
        <w:jc w:val="both"/>
        <w:rPr>
          <w:rFonts w:asciiTheme="majorHAnsi" w:hAnsiTheme="majorHAnsi" w:cs="Arial"/>
          <w:b/>
          <w:color w:val="000000" w:themeColor="text1"/>
        </w:rPr>
      </w:pPr>
    </w:p>
    <w:p w:rsidR="00690BE2" w:rsidRPr="00346AB8" w:rsidRDefault="00690BE2" w:rsidP="00346AB8">
      <w:pPr>
        <w:pStyle w:val="a3"/>
        <w:numPr>
          <w:ilvl w:val="0"/>
          <w:numId w:val="1"/>
        </w:numPr>
        <w:tabs>
          <w:tab w:val="left" w:pos="318"/>
        </w:tabs>
        <w:jc w:val="both"/>
        <w:rPr>
          <w:rFonts w:asciiTheme="majorHAnsi" w:hAnsiTheme="majorHAnsi" w:cs="Arial"/>
          <w:b/>
          <w:color w:val="000000" w:themeColor="text1"/>
        </w:rPr>
      </w:pPr>
      <w:r w:rsidRPr="00346AB8">
        <w:rPr>
          <w:rFonts w:asciiTheme="majorHAnsi" w:hAnsiTheme="majorHAnsi" w:cs="Arial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 wp14:anchorId="1D9907E4" wp14:editId="12D08149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1956435" cy="1224915"/>
            <wp:effectExtent l="0" t="0" r="5715" b="0"/>
            <wp:wrapTight wrapText="bothSides">
              <wp:wrapPolygon edited="0">
                <wp:start x="0" y="0"/>
                <wp:lineTo x="0" y="21163"/>
                <wp:lineTo x="21453" y="21163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ичество око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B8">
        <w:rPr>
          <w:rFonts w:asciiTheme="majorHAnsi" w:hAnsiTheme="majorHAnsi" w:cs="Arial"/>
          <w:b/>
          <w:color w:val="000000" w:themeColor="text1"/>
        </w:rPr>
        <w:t>Выбор количества окон.</w:t>
      </w:r>
    </w:p>
    <w:p w:rsidR="00690BE2" w:rsidRPr="00346AB8" w:rsidRDefault="00690BE2" w:rsidP="00346AB8">
      <w:pPr>
        <w:jc w:val="both"/>
        <w:rPr>
          <w:rFonts w:asciiTheme="majorHAnsi" w:hAnsiTheme="majorHAnsi" w:cs="Arial"/>
        </w:rPr>
      </w:pPr>
      <w:r w:rsidRPr="00346AB8">
        <w:rPr>
          <w:rFonts w:asciiTheme="majorHAnsi" w:hAnsiTheme="majorHAnsi" w:cs="Arial"/>
          <w:color w:val="000000" w:themeColor="text1"/>
        </w:rPr>
        <w:t xml:space="preserve">Предположим, Ваш выбор остановился на окне с размерами 78х118 см. </w:t>
      </w:r>
      <w:r w:rsidRPr="00346AB8">
        <w:rPr>
          <w:rFonts w:asciiTheme="majorHAnsi" w:hAnsiTheme="majorHAnsi" w:cs="Arial"/>
        </w:rPr>
        <w:t>Количество окон, необходимых для освещения мансарды, определяется отношением полезной площади остекления окна к площади пола. Рекомендуемое соотношение 1:10. Прим</w:t>
      </w:r>
      <w:r w:rsidR="00346AB8" w:rsidRPr="00346AB8">
        <w:rPr>
          <w:rFonts w:asciiTheme="majorHAnsi" w:hAnsiTheme="majorHAnsi" w:cs="Arial"/>
        </w:rPr>
        <w:t xml:space="preserve">ер: если площадь мансарды 25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м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346AB8">
        <w:rPr>
          <w:rFonts w:asciiTheme="majorHAnsi" w:hAnsiTheme="majorHAnsi" w:cs="Arial"/>
        </w:rPr>
        <w:t xml:space="preserve">, то общая полезная площадь остекления должна составлять приблизительно 2,5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м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346AB8">
        <w:rPr>
          <w:rFonts w:asciiTheme="majorHAnsi" w:hAnsiTheme="majorHAnsi" w:cs="Arial"/>
        </w:rPr>
        <w:t xml:space="preserve">. Величина полезной площади остекления приведена в прейскуранте в прямоугольнике под размером окна. Если использовать окно 78х118 см с полезной площадью остекления 0,58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м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346AB8">
        <w:rPr>
          <w:rFonts w:asciiTheme="majorHAnsi" w:hAnsiTheme="majorHAnsi" w:cs="Arial"/>
        </w:rPr>
        <w:t xml:space="preserve">, то для помещения с площадью 20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м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346AB8">
        <w:rPr>
          <w:rFonts w:asciiTheme="majorHAnsi" w:hAnsiTheme="majorHAnsi" w:cs="Arial"/>
        </w:rPr>
        <w:t xml:space="preserve"> понадобится четыре таких окна (4х0,59 = 2,36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м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346AB8">
        <w:rPr>
          <w:rFonts w:asciiTheme="majorHAnsi" w:hAnsiTheme="majorHAnsi" w:cs="Arial"/>
        </w:rPr>
        <w:t>).</w:t>
      </w:r>
    </w:p>
    <w:p w:rsidR="00690BE2" w:rsidRPr="00346AB8" w:rsidRDefault="00690BE2" w:rsidP="00346AB8">
      <w:pPr>
        <w:jc w:val="both"/>
        <w:rPr>
          <w:rFonts w:asciiTheme="majorHAnsi" w:hAnsiTheme="majorHAnsi" w:cs="Arial"/>
        </w:rPr>
      </w:pPr>
    </w:p>
    <w:p w:rsidR="00690BE2" w:rsidRPr="00346AB8" w:rsidRDefault="00690BE2" w:rsidP="00346AB8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b/>
          <w:color w:val="000000" w:themeColor="text1"/>
        </w:rPr>
      </w:pPr>
      <w:r w:rsidRPr="00346AB8">
        <w:rPr>
          <w:rFonts w:asciiTheme="majorHAnsi" w:hAnsiTheme="majorHAnsi" w:cs="Arial"/>
          <w:b/>
          <w:color w:val="000000" w:themeColor="text1"/>
        </w:rPr>
        <w:t>Выбор типа оклада.</w:t>
      </w:r>
    </w:p>
    <w:p w:rsidR="00690BE2" w:rsidRPr="00346AB8" w:rsidRDefault="00690BE2" w:rsidP="00346AB8">
      <w:pPr>
        <w:tabs>
          <w:tab w:val="left" w:pos="318"/>
        </w:tabs>
        <w:jc w:val="both"/>
        <w:rPr>
          <w:rFonts w:asciiTheme="majorHAnsi" w:hAnsiTheme="majorHAnsi" w:cs="Arial"/>
          <w:color w:val="000000" w:themeColor="text1"/>
        </w:rPr>
      </w:pPr>
      <w:r w:rsidRPr="00346AB8">
        <w:rPr>
          <w:rFonts w:asciiTheme="majorHAnsi" w:hAnsiTheme="majorHAnsi" w:cs="Arial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 wp14:anchorId="63FC7D9F" wp14:editId="686C2E2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956435" cy="1224915"/>
            <wp:effectExtent l="0" t="0" r="5715" b="0"/>
            <wp:wrapTight wrapText="bothSides">
              <wp:wrapPolygon edited="0">
                <wp:start x="0" y="0"/>
                <wp:lineTo x="0" y="21163"/>
                <wp:lineTo x="21453" y="21163"/>
                <wp:lineTo x="214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 окла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B8">
        <w:rPr>
          <w:rFonts w:asciiTheme="majorHAnsi" w:hAnsiTheme="majorHAnsi" w:cs="Arial"/>
          <w:color w:val="000000" w:themeColor="text1"/>
        </w:rPr>
        <w:t>Оклад является обязательным элементом для правильной установки окна в плоскость крыши и предназначен для защиты окна от дождевой воды, снега и ветра. Оклад гарантирует прочное и герметичное соединение окна с любым кровельным материалом.</w:t>
      </w:r>
    </w:p>
    <w:p w:rsidR="00690BE2" w:rsidRPr="00346AB8" w:rsidRDefault="00690BE2" w:rsidP="00346AB8">
      <w:pPr>
        <w:tabs>
          <w:tab w:val="left" w:pos="318"/>
        </w:tabs>
        <w:jc w:val="both"/>
        <w:rPr>
          <w:rFonts w:asciiTheme="majorHAnsi" w:hAnsiTheme="majorHAnsi" w:cs="Arial"/>
          <w:color w:val="000000" w:themeColor="text1"/>
        </w:rPr>
      </w:pPr>
      <w:r w:rsidRPr="00346AB8">
        <w:rPr>
          <w:rFonts w:asciiTheme="majorHAnsi" w:hAnsiTheme="majorHAnsi" w:cs="Arial"/>
          <w:b/>
          <w:color w:val="000000" w:themeColor="text1"/>
        </w:rPr>
        <w:t>ESV</w:t>
      </w:r>
      <w:r w:rsidRPr="00346AB8">
        <w:rPr>
          <w:rFonts w:asciiTheme="majorHAnsi" w:hAnsiTheme="majorHAnsi" w:cs="Arial"/>
          <w:color w:val="000000" w:themeColor="text1"/>
        </w:rPr>
        <w:t xml:space="preserve"> - оклад для плоских кровельных покрытий: кровельное железо, гибкая черепица, различные не профилированные кровельные материалы толщиной до 10 мм (2 слоя по 5 мм).</w:t>
      </w:r>
    </w:p>
    <w:p w:rsidR="00690BE2" w:rsidRPr="00346AB8" w:rsidRDefault="00690BE2" w:rsidP="00346AB8">
      <w:pPr>
        <w:jc w:val="both"/>
        <w:rPr>
          <w:rFonts w:asciiTheme="majorHAnsi" w:eastAsia="Calibri" w:hAnsiTheme="majorHAnsi" w:cs="Arial"/>
        </w:rPr>
      </w:pPr>
      <w:r w:rsidRPr="00346AB8">
        <w:rPr>
          <w:rFonts w:asciiTheme="majorHAnsi" w:eastAsia="Calibri" w:hAnsiTheme="majorHAnsi" w:cs="Arial"/>
          <w:b/>
          <w:lang w:val="en-US"/>
        </w:rPr>
        <w:t>EZV</w:t>
      </w:r>
      <w:r w:rsidRPr="00346AB8">
        <w:rPr>
          <w:rFonts w:asciiTheme="majorHAnsi" w:eastAsia="Calibri" w:hAnsiTheme="majorHAnsi" w:cs="Arial"/>
          <w:b/>
        </w:rPr>
        <w:t>-</w:t>
      </w:r>
      <w:r w:rsidRPr="00346AB8">
        <w:rPr>
          <w:rFonts w:asciiTheme="majorHAnsi" w:eastAsia="Calibri" w:hAnsiTheme="majorHAnsi" w:cs="Arial"/>
          <w:b/>
          <w:lang w:val="en-US"/>
        </w:rPr>
        <w:t>P</w:t>
      </w:r>
      <w:r w:rsidRPr="00346AB8">
        <w:rPr>
          <w:rFonts w:asciiTheme="majorHAnsi" w:eastAsia="Calibri" w:hAnsiTheme="majorHAnsi" w:cs="Arial"/>
          <w:b/>
        </w:rPr>
        <w:t xml:space="preserve"> </w:t>
      </w:r>
      <w:r w:rsidRPr="00346AB8">
        <w:rPr>
          <w:rFonts w:asciiTheme="majorHAnsi" w:eastAsia="Calibri" w:hAnsiTheme="majorHAnsi" w:cs="Arial"/>
        </w:rPr>
        <w:t>- оклад для профилированных кровельных покрытий: черепица, металлочерепица, профнастил, шифер, битумные профильные листы, кровельные материалы толщиной до 45 мм.</w:t>
      </w:r>
    </w:p>
    <w:p w:rsidR="00690BE2" w:rsidRPr="00346AB8" w:rsidRDefault="00690BE2" w:rsidP="00346AB8">
      <w:pPr>
        <w:tabs>
          <w:tab w:val="left" w:pos="8580"/>
        </w:tabs>
        <w:jc w:val="both"/>
        <w:rPr>
          <w:rFonts w:asciiTheme="majorHAnsi" w:eastAsia="Calibri" w:hAnsiTheme="majorHAnsi" w:cs="Arial"/>
          <w:b/>
        </w:rPr>
      </w:pPr>
      <w:r w:rsidRPr="00346AB8">
        <w:rPr>
          <w:rFonts w:asciiTheme="majorHAnsi" w:eastAsia="Calibri" w:hAnsiTheme="majorHAnsi" w:cs="Arial"/>
          <w:b/>
          <w:lang w:val="en-US"/>
        </w:rPr>
        <w:t>EHN</w:t>
      </w:r>
      <w:r w:rsidRPr="00346AB8">
        <w:rPr>
          <w:rFonts w:asciiTheme="majorHAnsi" w:eastAsia="Calibri" w:hAnsiTheme="majorHAnsi" w:cs="Arial"/>
          <w:b/>
        </w:rPr>
        <w:t>/</w:t>
      </w:r>
      <w:r w:rsidRPr="00346AB8">
        <w:rPr>
          <w:rFonts w:asciiTheme="majorHAnsi" w:eastAsia="Calibri" w:hAnsiTheme="majorHAnsi" w:cs="Arial"/>
          <w:b/>
          <w:lang w:val="en-US"/>
        </w:rPr>
        <w:t>V</w:t>
      </w:r>
      <w:r w:rsidRPr="00346AB8">
        <w:rPr>
          <w:rFonts w:asciiTheme="majorHAnsi" w:eastAsia="Calibri" w:hAnsiTheme="majorHAnsi" w:cs="Arial"/>
          <w:b/>
        </w:rPr>
        <w:t>-</w:t>
      </w:r>
      <w:r w:rsidRPr="00346AB8">
        <w:rPr>
          <w:rFonts w:asciiTheme="majorHAnsi" w:eastAsia="Calibri" w:hAnsiTheme="majorHAnsi" w:cs="Arial"/>
          <w:b/>
          <w:lang w:val="en-US"/>
        </w:rPr>
        <w:t>AT</w:t>
      </w:r>
      <w:r w:rsidRPr="00346AB8">
        <w:rPr>
          <w:rFonts w:asciiTheme="majorHAnsi" w:eastAsia="Calibri" w:hAnsiTheme="majorHAnsi" w:cs="Arial"/>
          <w:b/>
        </w:rPr>
        <w:t xml:space="preserve"> </w:t>
      </w:r>
      <w:r w:rsidRPr="00346AB8">
        <w:rPr>
          <w:rFonts w:asciiTheme="majorHAnsi" w:eastAsia="Calibri" w:hAnsiTheme="majorHAnsi" w:cs="Arial"/>
          <w:b/>
          <w:lang w:val="en-US"/>
        </w:rPr>
        <w:t>Thermo</w:t>
      </w:r>
      <w:r w:rsidRPr="00346AB8">
        <w:rPr>
          <w:rFonts w:asciiTheme="majorHAnsi" w:eastAsia="Calibri" w:hAnsiTheme="majorHAnsi" w:cs="Arial"/>
          <w:b/>
        </w:rPr>
        <w:t xml:space="preserve"> </w:t>
      </w:r>
      <w:r w:rsidRPr="00346AB8">
        <w:rPr>
          <w:rFonts w:asciiTheme="majorHAnsi" w:eastAsia="Calibri" w:hAnsiTheme="majorHAnsi" w:cs="Arial"/>
        </w:rPr>
        <w:t xml:space="preserve">- оклад для любого кровельного покрытия с высотой профиля до 90 мм. Рекомендуется к использованию в районах с низкими температурами, поскольку он значительно снижает теплопотери в зоне мансардного окна. </w:t>
      </w:r>
    </w:p>
    <w:p w:rsidR="00690BE2" w:rsidRDefault="00690BE2" w:rsidP="00690BE2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230D7B" w:rsidRDefault="00230D7B" w:rsidP="00690BE2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230D7B" w:rsidRDefault="00230D7B" w:rsidP="00230D7B">
      <w:pPr>
        <w:pStyle w:val="a3"/>
        <w:numPr>
          <w:ilvl w:val="0"/>
          <w:numId w:val="1"/>
        </w:numPr>
        <w:jc w:val="both"/>
        <w:rPr>
          <w:rFonts w:asciiTheme="majorHAnsi" w:eastAsia="Calibri" w:hAnsiTheme="majorHAnsi" w:cs="Arial"/>
          <w:b/>
        </w:rPr>
      </w:pPr>
      <w:r w:rsidRPr="00230D7B">
        <w:rPr>
          <w:rFonts w:asciiTheme="majorHAnsi" w:eastAsia="Calibri" w:hAnsiTheme="majorHAnsi" w:cs="Arial"/>
          <w:b/>
        </w:rPr>
        <w:lastRenderedPageBreak/>
        <w:t>Аксессуары для быстрого монтажа</w:t>
      </w:r>
      <w:r>
        <w:rPr>
          <w:rFonts w:asciiTheme="majorHAnsi" w:eastAsia="Calibri" w:hAnsiTheme="majorHAnsi" w:cs="Arial"/>
          <w:b/>
        </w:rPr>
        <w:t>.</w:t>
      </w:r>
    </w:p>
    <w:p w:rsidR="00230D7B" w:rsidRPr="00230D7B" w:rsidRDefault="00230D7B" w:rsidP="00230D7B">
      <w:pPr>
        <w:pStyle w:val="a7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30D7B">
        <w:rPr>
          <w:rFonts w:asciiTheme="majorHAnsi" w:eastAsia="Calibri" w:hAnsiTheme="majorHAnsi"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5A8C091" wp14:editId="55F04707">
            <wp:simplePos x="0" y="0"/>
            <wp:positionH relativeFrom="column">
              <wp:posOffset>4686300</wp:posOffset>
            </wp:positionH>
            <wp:positionV relativeFrom="paragraph">
              <wp:posOffset>43815</wp:posOffset>
            </wp:positionV>
            <wp:extent cx="1956435" cy="1246505"/>
            <wp:effectExtent l="0" t="0" r="5715" b="0"/>
            <wp:wrapTight wrapText="bothSides">
              <wp:wrapPolygon edited="0">
                <wp:start x="0" y="0"/>
                <wp:lineTo x="0" y="21127"/>
                <wp:lineTo x="21453" y="21127"/>
                <wp:lineTo x="214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 и техническая поддерж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D7B">
        <w:rPr>
          <w:rFonts w:asciiTheme="majorHAnsi" w:hAnsiTheme="majorHAnsi" w:cs="Arial"/>
          <w:color w:val="000000"/>
          <w:sz w:val="22"/>
          <w:szCs w:val="22"/>
        </w:rPr>
        <w:t>Аксессуары для монтажа обеспечивают правильное и надежное соединение окна с конструкцией кровли, отличную гидр</w:t>
      </w:r>
      <w:proofErr w:type="gramStart"/>
      <w:r w:rsidRPr="00230D7B">
        <w:rPr>
          <w:rFonts w:asciiTheme="majorHAnsi" w:hAnsiTheme="majorHAnsi" w:cs="Arial"/>
          <w:color w:val="000000"/>
          <w:sz w:val="22"/>
          <w:szCs w:val="22"/>
        </w:rPr>
        <w:t>о-</w:t>
      </w:r>
      <w:proofErr w:type="gramEnd"/>
      <w:r w:rsidRPr="00230D7B">
        <w:rPr>
          <w:rFonts w:asciiTheme="majorHAnsi" w:hAnsiTheme="majorHAnsi" w:cs="Arial"/>
          <w:color w:val="000000"/>
          <w:sz w:val="22"/>
          <w:szCs w:val="22"/>
        </w:rPr>
        <w:t>, паро- и теплоизоляцию в зоне окна для крыши и более длительный срок службы окна.</w:t>
      </w:r>
    </w:p>
    <w:p w:rsidR="00230D7B" w:rsidRPr="00230D7B" w:rsidRDefault="00230D7B" w:rsidP="00230D7B">
      <w:pPr>
        <w:pStyle w:val="a7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30D7B">
        <w:rPr>
          <w:rFonts w:asciiTheme="majorHAnsi" w:hAnsiTheme="majorHAnsi" w:cs="Arial"/>
          <w:color w:val="000000"/>
          <w:sz w:val="22"/>
          <w:szCs w:val="22"/>
        </w:rPr>
        <w:t>Аксессуары для быстрого и профессионального монтажа окна:</w:t>
      </w:r>
    </w:p>
    <w:p w:rsidR="00230D7B" w:rsidRPr="00230D7B" w:rsidRDefault="00230D7B" w:rsidP="00230D7B">
      <w:pPr>
        <w:numPr>
          <w:ilvl w:val="0"/>
          <w:numId w:val="3"/>
        </w:numPr>
        <w:spacing w:after="0"/>
        <w:jc w:val="both"/>
        <w:rPr>
          <w:rFonts w:asciiTheme="majorHAnsi" w:hAnsiTheme="majorHAnsi" w:cs="Arial"/>
          <w:color w:val="000000"/>
        </w:rPr>
      </w:pPr>
      <w:r w:rsidRPr="00230D7B">
        <w:rPr>
          <w:rFonts w:asciiTheme="majorHAnsi" w:hAnsiTheme="majorHAnsi" w:cs="Arial"/>
          <w:color w:val="000000"/>
        </w:rPr>
        <w:t>Комплект окладов гидро-пароизоляционный XDK (XDP+XDS);</w:t>
      </w:r>
    </w:p>
    <w:p w:rsidR="00230D7B" w:rsidRPr="00230D7B" w:rsidRDefault="00230D7B" w:rsidP="00230D7B">
      <w:pPr>
        <w:numPr>
          <w:ilvl w:val="0"/>
          <w:numId w:val="3"/>
        </w:numPr>
        <w:spacing w:after="0"/>
        <w:jc w:val="both"/>
        <w:rPr>
          <w:rFonts w:asciiTheme="majorHAnsi" w:hAnsiTheme="majorHAnsi" w:cs="Arial"/>
          <w:color w:val="000000"/>
        </w:rPr>
      </w:pPr>
      <w:r w:rsidRPr="00230D7B">
        <w:rPr>
          <w:rFonts w:asciiTheme="majorHAnsi" w:hAnsiTheme="majorHAnsi" w:cs="Arial"/>
          <w:color w:val="000000"/>
        </w:rPr>
        <w:t>Теплоизоляционный пояс XWT;</w:t>
      </w:r>
    </w:p>
    <w:p w:rsidR="00230D7B" w:rsidRPr="00230D7B" w:rsidRDefault="00230D7B" w:rsidP="00230D7B">
      <w:pPr>
        <w:numPr>
          <w:ilvl w:val="0"/>
          <w:numId w:val="3"/>
        </w:numPr>
        <w:spacing w:after="0"/>
        <w:jc w:val="both"/>
        <w:rPr>
          <w:rFonts w:asciiTheme="majorHAnsi" w:hAnsiTheme="majorHAnsi" w:cs="Arial"/>
          <w:color w:val="000000"/>
        </w:rPr>
      </w:pPr>
      <w:r w:rsidRPr="00230D7B">
        <w:rPr>
          <w:rFonts w:asciiTheme="majorHAnsi" w:hAnsiTheme="majorHAnsi" w:cs="Arial"/>
          <w:color w:val="000000"/>
        </w:rPr>
        <w:t>Оконный короб XLW-F, XLW-P.</w:t>
      </w:r>
    </w:p>
    <w:p w:rsidR="00230D7B" w:rsidRPr="00230D7B" w:rsidRDefault="00230D7B" w:rsidP="00230D7B">
      <w:pPr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  <w:noProof/>
          <w:lang w:eastAsia="ru-RU"/>
        </w:rPr>
        <w:t xml:space="preserve"> </w:t>
      </w:r>
    </w:p>
    <w:p w:rsidR="00230D7B" w:rsidRPr="00230D7B" w:rsidRDefault="00230D7B" w:rsidP="00230D7B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230D7B">
        <w:rPr>
          <w:rFonts w:asciiTheme="majorHAnsi" w:hAnsiTheme="majorHAnsi"/>
          <w:b/>
        </w:rPr>
        <w:t>Дополнительные аксессуары.</w:t>
      </w:r>
      <w:bookmarkStart w:id="0" w:name="_GoBack"/>
      <w:bookmarkEnd w:id="0"/>
    </w:p>
    <w:p w:rsidR="00230D7B" w:rsidRDefault="00230D7B" w:rsidP="00230D7B">
      <w:pPr>
        <w:pStyle w:val="a3"/>
        <w:spacing w:after="0"/>
        <w:ind w:left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 wp14:anchorId="18C991CB" wp14:editId="07EAE0C2">
            <wp:simplePos x="0" y="0"/>
            <wp:positionH relativeFrom="column">
              <wp:posOffset>3810</wp:posOffset>
            </wp:positionH>
            <wp:positionV relativeFrom="paragraph">
              <wp:posOffset>152400</wp:posOffset>
            </wp:positionV>
            <wp:extent cx="1956435" cy="1246505"/>
            <wp:effectExtent l="0" t="0" r="5715" b="0"/>
            <wp:wrapTight wrapText="bothSides">
              <wp:wrapPolygon edited="0">
                <wp:start x="0" y="0"/>
                <wp:lineTo x="0" y="21127"/>
                <wp:lineTo x="21453" y="21127"/>
                <wp:lineTo x="2145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ые аксессуар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7B" w:rsidRPr="00230D7B" w:rsidRDefault="00230D7B" w:rsidP="00230D7B">
      <w:pPr>
        <w:pStyle w:val="a3"/>
        <w:spacing w:after="0"/>
        <w:ind w:left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230D7B">
        <w:rPr>
          <w:rFonts w:asciiTheme="majorHAnsi" w:eastAsia="Times New Roman" w:hAnsiTheme="majorHAnsi" w:cs="Arial"/>
          <w:color w:val="000000"/>
          <w:lang w:eastAsia="ru-RU"/>
        </w:rPr>
        <w:t>Компания FAKRO предлагает широкий выбор внутренних и наружных </w:t>
      </w:r>
      <w:hyperlink r:id="rId11" w:history="1">
        <w:r w:rsidRPr="00230D7B">
          <w:rPr>
            <w:rFonts w:asciiTheme="majorHAnsi" w:eastAsia="Times New Roman" w:hAnsiTheme="majorHAnsi" w:cs="Arial"/>
            <w:lang w:eastAsia="ru-RU"/>
          </w:rPr>
          <w:t>аксессуаров</w:t>
        </w:r>
      </w:hyperlink>
      <w:r w:rsidRPr="00230D7B">
        <w:rPr>
          <w:rFonts w:asciiTheme="majorHAnsi" w:eastAsia="Times New Roman" w:hAnsiTheme="majorHAnsi" w:cs="Arial"/>
          <w:color w:val="000000"/>
          <w:lang w:eastAsia="ru-RU"/>
        </w:rPr>
        <w:t> к окнам (шторы, жалюзи, плиссированные шторы, наружные маркизы и рольставни), а также систему автоматического управления окнами и аксессуарами Z-Wave.</w:t>
      </w:r>
    </w:p>
    <w:p w:rsidR="00230D7B" w:rsidRPr="00230D7B" w:rsidRDefault="00230D7B" w:rsidP="00230D7B">
      <w:pPr>
        <w:pStyle w:val="a3"/>
        <w:spacing w:after="0"/>
        <w:ind w:left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230D7B">
        <w:rPr>
          <w:rFonts w:asciiTheme="majorHAnsi" w:eastAsia="Times New Roman" w:hAnsiTheme="majorHAnsi" w:cs="Arial"/>
          <w:color w:val="000000"/>
          <w:lang w:eastAsia="ru-RU"/>
        </w:rPr>
        <w:t>Автоматическая система Z-Wave может быть подключена к любым моделям окон для крыши FAKRO. Элементами системы Z-Wave можно управлять, даже если они установлены на большой высоте и в труднодоступных местах с помощью пульта ДУ или беспроводной настенной клавиатуры. Возможно также управление из любой точки мира при помощи мобильного телефона и Интернета.</w:t>
      </w:r>
    </w:p>
    <w:p w:rsidR="00230D7B" w:rsidRPr="00230D7B" w:rsidRDefault="00230D7B" w:rsidP="00230D7B">
      <w:pPr>
        <w:rPr>
          <w:rFonts w:asciiTheme="majorHAnsi" w:hAnsiTheme="majorHAnsi"/>
          <w:b/>
        </w:rPr>
      </w:pPr>
    </w:p>
    <w:sectPr w:rsidR="00230D7B" w:rsidRPr="00230D7B" w:rsidSect="00344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03D"/>
    <w:multiLevelType w:val="multilevel"/>
    <w:tmpl w:val="1AF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460D5"/>
    <w:multiLevelType w:val="hybridMultilevel"/>
    <w:tmpl w:val="354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34D"/>
    <w:multiLevelType w:val="hybridMultilevel"/>
    <w:tmpl w:val="B5421B4E"/>
    <w:lvl w:ilvl="0" w:tplc="85E2944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36"/>
    <w:rsid w:val="00230D7B"/>
    <w:rsid w:val="0034469F"/>
    <w:rsid w:val="00346AB8"/>
    <w:rsid w:val="00690BE2"/>
    <w:rsid w:val="00885336"/>
    <w:rsid w:val="00A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6AB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D7B"/>
  </w:style>
  <w:style w:type="character" w:styleId="a8">
    <w:name w:val="Hyperlink"/>
    <w:basedOn w:val="a0"/>
    <w:uiPriority w:val="99"/>
    <w:semiHidden/>
    <w:unhideWhenUsed/>
    <w:rsid w:val="00230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6AB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D7B"/>
  </w:style>
  <w:style w:type="character" w:styleId="a8">
    <w:name w:val="Hyperlink"/>
    <w:basedOn w:val="a0"/>
    <w:uiPriority w:val="99"/>
    <w:semiHidden/>
    <w:unhideWhenUsed/>
    <w:rsid w:val="00230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kro.ru/produkciya/assortiment/aksessuar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2015-07-01T10:29:00Z</dcterms:created>
  <dcterms:modified xsi:type="dcterms:W3CDTF">2015-07-22T11:24:00Z</dcterms:modified>
</cp:coreProperties>
</file>